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26" w:rsidRDefault="002833D1">
      <w:pPr>
        <w:ind w:left="417"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b w:val="0"/>
          <w:bCs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b w:val="0"/>
          <w:bCs w:val="0"/>
          <w:sz w:val="32"/>
          <w:szCs w:val="32"/>
        </w:rPr>
        <w:t>1</w:t>
      </w:r>
      <w:r>
        <w:rPr>
          <w:rFonts w:ascii="黑体" w:eastAsia="黑体" w:hAnsi="黑体" w:cs="仿宋_GB2312" w:hint="eastAsia"/>
          <w:b w:val="0"/>
          <w:bCs w:val="0"/>
          <w:sz w:val="32"/>
          <w:szCs w:val="32"/>
        </w:rPr>
        <w:t>：</w:t>
      </w:r>
      <w:r>
        <w:rPr>
          <w:rFonts w:ascii="黑体" w:eastAsia="黑体" w:hAnsi="黑体" w:cs="仿宋_GB2312"/>
          <w:b w:val="0"/>
          <w:bCs w:val="0"/>
          <w:sz w:val="32"/>
          <w:szCs w:val="32"/>
        </w:rPr>
        <w:t xml:space="preserve">        </w:t>
      </w:r>
      <w:bookmarkStart w:id="0" w:name="_GoBack"/>
      <w:r>
        <w:rPr>
          <w:rFonts w:ascii="黑体" w:eastAsia="黑体" w:hAnsi="黑体" w:cs="仿宋_GB2312" w:hint="eastAsia"/>
          <w:sz w:val="36"/>
          <w:szCs w:val="36"/>
        </w:rPr>
        <w:t>第十二届大学生职业生涯规划</w:t>
      </w:r>
      <w:bookmarkEnd w:id="0"/>
      <w:r>
        <w:rPr>
          <w:rFonts w:ascii="黑体" w:eastAsia="黑体" w:hAnsi="黑体" w:cs="仿宋_GB2312" w:hint="eastAsia"/>
          <w:sz w:val="36"/>
          <w:szCs w:val="36"/>
        </w:rPr>
        <w:t>设计书基本内容要求</w:t>
      </w:r>
    </w:p>
    <w:tbl>
      <w:tblPr>
        <w:tblW w:w="13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535"/>
        <w:gridCol w:w="10499"/>
      </w:tblGrid>
      <w:tr w:rsidR="00170D26">
        <w:trPr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规划步骤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 w:rsidP="00A65293">
            <w:pPr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具体描述</w:t>
            </w:r>
          </w:p>
        </w:tc>
      </w:tr>
      <w:tr w:rsidR="00170D26">
        <w:trPr>
          <w:cantSplit/>
          <w:trHeight w:val="1079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职业生涯规划设计书内容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自我认知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．自我分析清晰、全面、深入、客观，能清楚的认识到自己的优势和劣势。</w:t>
            </w:r>
          </w:p>
          <w:p w:rsidR="00170D26" w:rsidRDefault="002833D1" w:rsidP="00A65293">
            <w:pPr>
              <w:spacing w:line="320" w:lineRule="exact"/>
              <w:ind w:leftChars="228" w:left="841" w:hangingChars="150" w:hanging="36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．将人才测评量化分析与自我深入分析结合，客观地评价自我，职业兴趣、职业能力、行为风格、职业价值观分析全面、到位。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．从个人兴趣爱好、成长经历社会实践中分析自我。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．自我评估理论、模型应用正确、合理。</w:t>
            </w:r>
          </w:p>
        </w:tc>
      </w:tr>
      <w:tr w:rsidR="00170D26">
        <w:trPr>
          <w:cantSplit/>
          <w:trHeight w:val="1688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职业认知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．分析就业环境，了解社会的整体就业趋势，并了解大学生就业状况。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．对目标行业发展前景及现状了解清晰，并且了解行业中的就业需求。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．对行业内标杆组织的人力资源管理战略、企业文化进行分析，做到“人企匹配”</w:t>
            </w: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．对目标职位的工作职责、任职者所需技能等进行分析，做到“人岗匹配”</w:t>
            </w: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．通过对外部环境的分析，能清楚认识到自己面临的机会、挑战以及对职业发展产生的影响。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．环境评估理论、模型的应用。</w:t>
            </w:r>
          </w:p>
        </w:tc>
      </w:tr>
      <w:tr w:rsidR="00170D26">
        <w:trPr>
          <w:cantSplit/>
          <w:trHeight w:val="775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spacing w:line="32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职业决策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制订职业决策需要结合自己的性格、特长和兴趣。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要考虑到实际情况，并具有可执行性。</w:t>
            </w:r>
          </w:p>
          <w:p w:rsidR="00170D26" w:rsidRDefault="002833D1" w:rsidP="00A65293">
            <w:pPr>
              <w:spacing w:line="320" w:lineRule="exact"/>
              <w:ind w:leftChars="228" w:left="721" w:hangingChars="100" w:hanging="240"/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职业决策必须有可持续发展性。职业决策不能够制订一个阶段性的目标，应该是是一连串的、可以贯穿自己整个职业发展生涯的远景展望。</w:t>
            </w:r>
          </w:p>
        </w:tc>
      </w:tr>
      <w:tr w:rsidR="00170D26">
        <w:trPr>
          <w:cantSplit/>
          <w:trHeight w:val="879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6" w:rsidRDefault="00170D26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计划与路径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．行动计划（短期、中期、长期）清晰、可操作性强。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．行动计划对保持个人优势，要避免个人不足，全面提升个人竞争力，有针对性、可操作性。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．近期计划详尽、中期计划清晰并具有灵活性、长期计划具有方向性。</w:t>
            </w:r>
          </w:p>
          <w:p w:rsidR="00170D26" w:rsidRDefault="002833D1" w:rsidP="00A65293">
            <w:pPr>
              <w:spacing w:line="320" w:lineRule="exact"/>
              <w:ind w:leftChars="228" w:left="841" w:hangingChars="150" w:hanging="36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．职业目标确定和发展路径设计要符合外部环境和个人特质（兴趣、技能、特质、价值观），要符合实际、可执行、可实现。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．职业发展路径符合逻辑和现实、对实现目标而言具有可操作性和竞争力。</w:t>
            </w:r>
          </w:p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．要用长远的眼光设定职业目标，并将总目标划分成几个阶段性目标来实现。</w:t>
            </w:r>
          </w:p>
        </w:tc>
      </w:tr>
      <w:tr w:rsidR="00170D26">
        <w:trPr>
          <w:cantSplit/>
          <w:trHeight w:val="720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6" w:rsidRDefault="00170D26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评估与调整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6" w:rsidRDefault="002833D1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．对行动计划和职业目标设定评估方案，如要达到什么标准，评估的要素是什么。</w:t>
            </w:r>
          </w:p>
          <w:p w:rsidR="00170D26" w:rsidRDefault="002833D1" w:rsidP="00A65293">
            <w:pPr>
              <w:spacing w:line="320" w:lineRule="exact"/>
              <w:ind w:leftChars="228" w:left="841" w:hangingChars="150" w:hanging="36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．对职业路径进行可行的、与时俱进地灵活调整，备选方案也要充分根据个人与环境的评估进行分析确定，备选路径设计与主路径要有相关联系性。</w:t>
            </w:r>
          </w:p>
        </w:tc>
      </w:tr>
      <w:tr w:rsidR="00170D26">
        <w:trPr>
          <w:cantSplit/>
          <w:trHeight w:val="619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6" w:rsidRDefault="00170D26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职业道德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6" w:rsidRDefault="002833D1" w:rsidP="00A65293">
            <w:pPr>
              <w:spacing w:line="320" w:lineRule="exact"/>
              <w:ind w:leftChars="228" w:left="841" w:hangingChars="150" w:hanging="360"/>
              <w:rPr>
                <w:rFonts w:ascii="仿宋_GB2312" w:eastAsia="仿宋_GB2312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职业道德主要应包括以下几方面的内容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忠于职守，乐于奉献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;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实事求是，不弄虚作假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;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依法行事，严守秘密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;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</w:rPr>
              <w:t>公正透明，服务社会。</w:t>
            </w:r>
          </w:p>
        </w:tc>
      </w:tr>
    </w:tbl>
    <w:p w:rsidR="00170D26" w:rsidRDefault="00170D26">
      <w:pPr>
        <w:spacing w:line="320" w:lineRule="exact"/>
        <w:ind w:left="417" w:firstLineChars="200" w:firstLine="640"/>
        <w:rPr>
          <w:rFonts w:ascii="仿宋_GB2312" w:eastAsia="仿宋_GB2312"/>
          <w:b w:val="0"/>
          <w:bCs w:val="0"/>
          <w:color w:val="FF0000"/>
          <w:sz w:val="32"/>
          <w:szCs w:val="32"/>
        </w:rPr>
      </w:pPr>
    </w:p>
    <w:p w:rsidR="00170D26" w:rsidRDefault="00170D26">
      <w:pPr>
        <w:ind w:left="417" w:firstLineChars="200" w:firstLine="640"/>
        <w:rPr>
          <w:rFonts w:ascii="仿宋_GB2312" w:eastAsia="仿宋_GB2312"/>
          <w:b w:val="0"/>
          <w:bCs w:val="0"/>
          <w:color w:val="FF0000"/>
          <w:sz w:val="32"/>
          <w:szCs w:val="32"/>
        </w:rPr>
        <w:sectPr w:rsidR="00170D26">
          <w:footerReference w:type="even" r:id="rId9"/>
          <w:footerReference w:type="default" r:id="rId10"/>
          <w:pgSz w:w="16840" w:h="11907" w:orient="landscape"/>
          <w:pgMar w:top="1644" w:right="1758" w:bottom="1644" w:left="1701" w:header="851" w:footer="992" w:gutter="0"/>
          <w:paperSrc w:first="1268" w:other="1268"/>
          <w:cols w:space="720"/>
          <w:docGrid w:type="linesAndChars" w:linePitch="312"/>
        </w:sectPr>
      </w:pPr>
    </w:p>
    <w:p w:rsidR="00170D26" w:rsidRDefault="002833D1">
      <w:pPr>
        <w:rPr>
          <w:rFonts w:ascii="黑体" w:eastAsia="黑体" w:hAnsi="黑体"/>
          <w:b w:val="0"/>
          <w:bCs w:val="0"/>
          <w:color w:val="auto"/>
          <w:sz w:val="32"/>
          <w:szCs w:val="32"/>
        </w:rPr>
      </w:pPr>
      <w:r>
        <w:rPr>
          <w:rFonts w:ascii="黑体" w:eastAsia="黑体" w:hAnsi="黑体" w:cs="仿宋_GB2312" w:hint="eastAsia"/>
          <w:b w:val="0"/>
          <w:bCs w:val="0"/>
          <w:color w:val="auto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b w:val="0"/>
          <w:bCs w:val="0"/>
          <w:color w:val="auto"/>
          <w:sz w:val="32"/>
          <w:szCs w:val="32"/>
        </w:rPr>
        <w:t>2</w:t>
      </w:r>
      <w:r>
        <w:rPr>
          <w:rFonts w:ascii="黑体" w:eastAsia="黑体" w:hAnsi="黑体" w:cs="仿宋_GB2312" w:hint="eastAsia"/>
          <w:b w:val="0"/>
          <w:bCs w:val="0"/>
          <w:color w:val="auto"/>
          <w:sz w:val="32"/>
          <w:szCs w:val="32"/>
        </w:rPr>
        <w:t>：</w:t>
      </w:r>
      <w:r>
        <w:rPr>
          <w:rFonts w:ascii="黑体" w:eastAsia="黑体" w:hAnsi="黑体" w:cs="方正小标宋简体" w:hint="eastAsia"/>
          <w:color w:val="auto"/>
          <w:sz w:val="36"/>
          <w:szCs w:val="36"/>
        </w:rPr>
        <w:t>第十二届大学生职业生涯规划大赛评分标准</w:t>
      </w:r>
    </w:p>
    <w:p w:rsidR="00170D26" w:rsidRDefault="00170D26">
      <w:pPr>
        <w:ind w:firstLineChars="200" w:firstLine="482"/>
        <w:jc w:val="center"/>
        <w:rPr>
          <w:rStyle w:val="a4"/>
          <w:rFonts w:ascii="仿宋_GB2312" w:eastAsia="仿宋_GB2312"/>
          <w:b/>
          <w:color w:val="auto"/>
          <w:sz w:val="24"/>
          <w:szCs w:val="24"/>
        </w:rPr>
      </w:pPr>
    </w:p>
    <w:p w:rsidR="00170D26" w:rsidRDefault="002833D1">
      <w:pPr>
        <w:ind w:firstLineChars="200" w:firstLine="482"/>
        <w:jc w:val="center"/>
        <w:rPr>
          <w:rFonts w:ascii="仿宋_GB2312" w:eastAsia="仿宋_GB2312"/>
          <w:color w:val="auto"/>
          <w:sz w:val="24"/>
          <w:szCs w:val="24"/>
        </w:rPr>
      </w:pPr>
      <w:r>
        <w:rPr>
          <w:rStyle w:val="a4"/>
          <w:rFonts w:ascii="仿宋_GB2312" w:eastAsia="仿宋_GB2312" w:hint="eastAsia"/>
          <w:b/>
          <w:color w:val="auto"/>
          <w:sz w:val="24"/>
          <w:szCs w:val="24"/>
        </w:rPr>
        <w:t>表</w:t>
      </w:r>
      <w:r>
        <w:rPr>
          <w:rStyle w:val="a4"/>
          <w:rFonts w:ascii="仿宋_GB2312" w:eastAsia="仿宋_GB2312" w:hint="eastAsia"/>
          <w:b/>
          <w:color w:val="auto"/>
          <w:sz w:val="24"/>
          <w:szCs w:val="24"/>
        </w:rPr>
        <w:t>1</w:t>
      </w:r>
      <w:r>
        <w:rPr>
          <w:rStyle w:val="a4"/>
          <w:rFonts w:ascii="仿宋_GB2312" w:eastAsia="仿宋_GB2312" w:hint="eastAsia"/>
          <w:b/>
          <w:color w:val="auto"/>
          <w:sz w:val="24"/>
          <w:szCs w:val="24"/>
        </w:rPr>
        <w:t>：</w:t>
      </w:r>
      <w:r>
        <w:rPr>
          <w:rFonts w:ascii="仿宋_GB2312" w:eastAsia="仿宋_GB2312" w:hint="eastAsia"/>
          <w:color w:val="auto"/>
          <w:sz w:val="24"/>
          <w:szCs w:val="24"/>
        </w:rPr>
        <w:t>第十二届大学生职业生涯规划大赛复赛评分标准</w:t>
      </w:r>
    </w:p>
    <w:p w:rsidR="00170D26" w:rsidRDefault="00170D26">
      <w:pPr>
        <w:ind w:firstLineChars="200" w:firstLine="480"/>
        <w:jc w:val="center"/>
        <w:rPr>
          <w:rStyle w:val="a4"/>
          <w:rFonts w:ascii="仿宋_GB2312" w:eastAsia="仿宋_GB2312"/>
          <w:color w:val="auto"/>
          <w:sz w:val="24"/>
          <w:szCs w:val="24"/>
        </w:rPr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146"/>
        <w:gridCol w:w="833"/>
        <w:gridCol w:w="981"/>
      </w:tblGrid>
      <w:tr w:rsidR="00170D26">
        <w:trPr>
          <w:trHeight w:val="47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选手得分情况</w:t>
            </w:r>
          </w:p>
        </w:tc>
      </w:tr>
      <w:tr w:rsidR="00170D26">
        <w:trPr>
          <w:trHeight w:val="40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完整性（</w:t>
            </w:r>
            <w:r>
              <w:rPr>
                <w:rStyle w:val="a4"/>
                <w:rFonts w:ascii="仿宋_GB2312" w:eastAsia="仿宋_GB2312" w:cs="仿宋_GB2312"/>
                <w:b/>
                <w:color w:val="auto"/>
                <w:sz w:val="24"/>
                <w:szCs w:val="24"/>
              </w:rPr>
              <w:t>20</w:t>
            </w: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ind w:firstLineChars="200" w:firstLine="48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、有自我和职业分析，有职业决策。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21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2"/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ind w:firstLineChars="200" w:firstLine="48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、有短期、中期、长期计划，有具体实施方案；有目标及策略校正调整方案和职业道德阐述。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科学性（</w:t>
            </w:r>
            <w:r>
              <w:rPr>
                <w:rStyle w:val="a4"/>
                <w:rFonts w:ascii="仿宋_GB2312" w:eastAsia="仿宋_GB2312" w:cs="仿宋_GB2312"/>
                <w:b/>
                <w:color w:val="auto"/>
                <w:sz w:val="24"/>
                <w:szCs w:val="24"/>
              </w:rPr>
              <w:t>20</w:t>
            </w: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 w:rsidP="00A65293">
            <w:pPr>
              <w:ind w:leftChars="228" w:left="841" w:hangingChars="150" w:hanging="36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、能对自身及外部环境进行全面、科学、客观的分析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51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2"/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 w:rsidP="00A65293">
            <w:pPr>
              <w:ind w:leftChars="228" w:left="841" w:hangingChars="150" w:hanging="36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、能结合自我分析及外部环境设立合理的职业目标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操作性（</w:t>
            </w:r>
            <w:r>
              <w:rPr>
                <w:rStyle w:val="a4"/>
                <w:rFonts w:ascii="仿宋_GB2312" w:eastAsia="仿宋_GB2312" w:cs="仿宋_GB2312"/>
                <w:b/>
                <w:color w:val="auto"/>
                <w:sz w:val="24"/>
                <w:szCs w:val="24"/>
              </w:rPr>
              <w:t>15</w:t>
            </w: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 w:rsidP="00A65293">
            <w:pPr>
              <w:ind w:leftChars="228" w:left="841" w:hangingChars="150" w:hanging="36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、能根据职业目标指定合理的短、中、长期计划。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2"/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ind w:firstLineChars="200" w:firstLine="48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、具体实施方案切实可行，具有说服力。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创新性（</w:t>
            </w: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5</w:t>
            </w: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ind w:firstLineChars="200" w:firstLine="48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、视角新颖，见解独特，具有创造性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逻辑性（</w:t>
            </w:r>
            <w:r>
              <w:rPr>
                <w:rStyle w:val="a4"/>
                <w:rFonts w:ascii="仿宋_GB2312" w:eastAsia="仿宋_GB2312" w:cs="仿宋_GB2312"/>
                <w:b/>
                <w:color w:val="auto"/>
                <w:sz w:val="24"/>
                <w:szCs w:val="24"/>
              </w:rPr>
              <w:t>5</w:t>
            </w: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ind w:firstLineChars="200" w:firstLine="48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、条理清楚，组织合理，把握核心与关键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美观性（</w:t>
            </w: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5</w:t>
            </w: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ind w:firstLineChars="200" w:firstLine="48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、格式清晰，版面美观，形式新颖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:rsidR="00170D26" w:rsidRDefault="00170D26">
      <w:pPr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170D26">
      <w:pPr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2833D1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  <w:r>
        <w:rPr>
          <w:rStyle w:val="a4"/>
          <w:rFonts w:ascii="仿宋_GB2312" w:eastAsia="仿宋_GB2312" w:cs="仿宋_GB2312" w:hint="eastAsia"/>
          <w:b/>
          <w:color w:val="auto"/>
          <w:sz w:val="24"/>
          <w:szCs w:val="24"/>
        </w:rPr>
        <w:t>表</w:t>
      </w:r>
      <w:r>
        <w:rPr>
          <w:rStyle w:val="a4"/>
          <w:rFonts w:ascii="仿宋_GB2312" w:eastAsia="仿宋_GB2312" w:cs="仿宋_GB2312" w:hint="eastAsia"/>
          <w:b/>
          <w:color w:val="auto"/>
          <w:sz w:val="24"/>
          <w:szCs w:val="24"/>
        </w:rPr>
        <w:t>2</w:t>
      </w:r>
      <w:r>
        <w:rPr>
          <w:rStyle w:val="a4"/>
          <w:rFonts w:ascii="仿宋_GB2312" w:eastAsia="仿宋_GB2312" w:cs="仿宋_GB2312" w:hint="eastAsia"/>
          <w:b/>
          <w:color w:val="auto"/>
          <w:sz w:val="24"/>
          <w:szCs w:val="24"/>
        </w:rPr>
        <w:t>：第十二届大学生职业生涯规划大赛复赛选手提问答题评分标准</w:t>
      </w:r>
    </w:p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5441"/>
        <w:gridCol w:w="709"/>
        <w:gridCol w:w="1275"/>
      </w:tblGrid>
      <w:tr w:rsidR="00170D26">
        <w:trPr>
          <w:trHeight w:val="52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ind w:firstLineChars="200" w:firstLine="482"/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选手得分</w:t>
            </w:r>
          </w:p>
        </w:tc>
      </w:tr>
      <w:tr w:rsidR="00170D26">
        <w:trPr>
          <w:trHeight w:val="40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仪表风范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2833D1">
            <w:pPr>
              <w:ind w:firstLineChars="200" w:firstLine="48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、服装整洁，仪表端庄，表情动作，丰富得当。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70D26">
        <w:trPr>
          <w:trHeight w:val="60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语言表达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2833D1">
            <w:pPr>
              <w:ind w:firstLineChars="200" w:firstLine="48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、口齿清晰，语言流畅；语气语调，节奏恰当。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55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演讲内容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2833D1">
            <w:pPr>
              <w:ind w:firstLineChars="200" w:firstLine="480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、紧扣主题，结构完整；内容充实，语言优美。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170D26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</w:p>
    <w:p w:rsidR="00170D26" w:rsidRDefault="002833D1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  <w:r>
        <w:rPr>
          <w:rStyle w:val="a4"/>
          <w:rFonts w:ascii="仿宋_GB2312" w:eastAsia="仿宋_GB2312" w:cs="仿宋_GB2312" w:hint="eastAsia"/>
          <w:b/>
          <w:color w:val="auto"/>
          <w:sz w:val="24"/>
          <w:szCs w:val="24"/>
        </w:rPr>
        <w:t>表</w:t>
      </w:r>
      <w:r>
        <w:rPr>
          <w:rStyle w:val="a4"/>
          <w:rFonts w:ascii="仿宋_GB2312" w:eastAsia="仿宋_GB2312" w:cs="仿宋_GB2312"/>
          <w:b/>
          <w:color w:val="auto"/>
          <w:sz w:val="24"/>
          <w:szCs w:val="24"/>
        </w:rPr>
        <w:t>3</w:t>
      </w:r>
      <w:r>
        <w:rPr>
          <w:rStyle w:val="a4"/>
          <w:rFonts w:ascii="仿宋_GB2312" w:eastAsia="仿宋_GB2312" w:cs="仿宋_GB2312" w:hint="eastAsia"/>
          <w:b/>
          <w:color w:val="auto"/>
          <w:sz w:val="24"/>
          <w:szCs w:val="24"/>
        </w:rPr>
        <w:t>：第十二届大学生职业生涯规划大赛决赛现场展示评分表</w:t>
      </w:r>
    </w:p>
    <w:p w:rsidR="00170D26" w:rsidRDefault="00170D26">
      <w:pPr>
        <w:jc w:val="center"/>
        <w:rPr>
          <w:rStyle w:val="a4"/>
          <w:rFonts w:ascii="仿宋_GB2312" w:eastAsia="仿宋_GB2312"/>
          <w:b/>
          <w:sz w:val="24"/>
          <w:szCs w:val="24"/>
        </w:rPr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146"/>
        <w:gridCol w:w="833"/>
        <w:gridCol w:w="981"/>
      </w:tblGrid>
      <w:tr w:rsidR="00170D26">
        <w:trPr>
          <w:trHeight w:val="47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选手得分情况</w:t>
            </w:r>
          </w:p>
        </w:tc>
      </w:tr>
      <w:tr w:rsidR="00170D26">
        <w:trPr>
          <w:trHeight w:val="42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规划书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color w:val="auto"/>
                <w:sz w:val="24"/>
                <w:szCs w:val="24"/>
              </w:rPr>
              <w:t>制作美观，版面干净，打印清晰，审阅舒适。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51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PPT</w:t>
            </w:r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制作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color w:val="auto"/>
                <w:sz w:val="24"/>
                <w:szCs w:val="24"/>
              </w:rPr>
              <w:t>PPT</w:t>
            </w:r>
            <w:r>
              <w:rPr>
                <w:rStyle w:val="a4"/>
                <w:rFonts w:ascii="仿宋_GB2312" w:eastAsia="仿宋_GB2312" w:hint="eastAsia"/>
                <w:color w:val="auto"/>
                <w:sz w:val="24"/>
                <w:szCs w:val="24"/>
              </w:rPr>
              <w:t>制作美观，条理清晰。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表达的完整性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color w:val="auto"/>
                <w:sz w:val="24"/>
                <w:szCs w:val="24"/>
              </w:rPr>
              <w:t>能够准确表达作品内容，准确把握职业规划设计的核心和关键。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自我表达力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color w:val="auto"/>
                <w:sz w:val="24"/>
                <w:szCs w:val="24"/>
              </w:rPr>
              <w:t>选手必须脱稿陈述，普通话要标准清晰，语言流畅，语速适中，表达简洁。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表达生动性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color w:val="auto"/>
                <w:sz w:val="24"/>
                <w:szCs w:val="24"/>
              </w:rPr>
              <w:t>表现力强，有感染力，</w:t>
            </w:r>
            <w:proofErr w:type="gramStart"/>
            <w:r>
              <w:rPr>
                <w:rStyle w:val="a4"/>
                <w:rFonts w:ascii="仿宋_GB2312" w:eastAsia="仿宋_GB2312" w:hint="eastAsia"/>
                <w:color w:val="auto"/>
                <w:sz w:val="24"/>
                <w:szCs w:val="24"/>
              </w:rPr>
              <w:t>控场灵活</w:t>
            </w:r>
            <w:proofErr w:type="gramEnd"/>
            <w:r>
              <w:rPr>
                <w:rStyle w:val="a4"/>
                <w:rFonts w:ascii="仿宋_GB2312" w:eastAsia="仿宋_GB2312" w:hint="eastAsia"/>
                <w:color w:val="auto"/>
                <w:sz w:val="24"/>
                <w:szCs w:val="24"/>
              </w:rPr>
              <w:t>有效，能够调动观众气氛，现场互动效果优良。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仪态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color w:val="auto"/>
                <w:sz w:val="24"/>
                <w:szCs w:val="24"/>
              </w:rPr>
              <w:t>着装得体，仪态端庄、大方、美观。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7</w:t>
            </w:r>
            <w:r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26" w:rsidRDefault="00170D26">
            <w:pPr>
              <w:ind w:firstLineChars="200" w:firstLine="480"/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:rsidR="00170D26" w:rsidRDefault="00170D26">
      <w:pPr>
        <w:rPr>
          <w:rStyle w:val="a4"/>
          <w:rFonts w:ascii="仿宋_GB2312" w:eastAsia="仿宋_GB2312"/>
          <w:color w:val="auto"/>
          <w:sz w:val="24"/>
          <w:szCs w:val="24"/>
        </w:rPr>
      </w:pPr>
    </w:p>
    <w:p w:rsidR="00170D26" w:rsidRDefault="00170D26">
      <w:pPr>
        <w:rPr>
          <w:rStyle w:val="a4"/>
          <w:rFonts w:ascii="仿宋_GB2312" w:eastAsia="仿宋_GB2312"/>
          <w:color w:val="auto"/>
          <w:sz w:val="24"/>
          <w:szCs w:val="24"/>
        </w:rPr>
      </w:pPr>
    </w:p>
    <w:p w:rsidR="00170D26" w:rsidRDefault="00170D26">
      <w:pPr>
        <w:rPr>
          <w:rStyle w:val="a4"/>
          <w:rFonts w:ascii="仿宋_GB2312" w:eastAsia="仿宋_GB2312"/>
          <w:color w:val="auto"/>
          <w:sz w:val="24"/>
          <w:szCs w:val="24"/>
        </w:rPr>
      </w:pPr>
    </w:p>
    <w:p w:rsidR="00170D26" w:rsidRDefault="002833D1">
      <w:pPr>
        <w:jc w:val="center"/>
        <w:rPr>
          <w:rStyle w:val="a4"/>
          <w:rFonts w:ascii="仿宋_GB2312" w:eastAsia="仿宋_GB2312" w:cs="仿宋_GB2312"/>
          <w:b/>
          <w:color w:val="auto"/>
          <w:sz w:val="24"/>
          <w:szCs w:val="24"/>
        </w:rPr>
      </w:pPr>
      <w:r>
        <w:rPr>
          <w:rStyle w:val="a4"/>
          <w:rFonts w:ascii="仿宋_GB2312" w:eastAsia="仿宋_GB2312" w:cs="仿宋_GB2312" w:hint="eastAsia"/>
          <w:b/>
          <w:color w:val="auto"/>
          <w:sz w:val="24"/>
          <w:szCs w:val="24"/>
        </w:rPr>
        <w:t>表</w:t>
      </w:r>
      <w:r>
        <w:rPr>
          <w:rStyle w:val="a4"/>
          <w:rFonts w:ascii="仿宋_GB2312" w:eastAsia="仿宋_GB2312" w:cs="仿宋_GB2312"/>
          <w:b/>
          <w:color w:val="auto"/>
          <w:sz w:val="24"/>
          <w:szCs w:val="24"/>
        </w:rPr>
        <w:t>4</w:t>
      </w:r>
      <w:r>
        <w:rPr>
          <w:rStyle w:val="a4"/>
          <w:rFonts w:ascii="仿宋_GB2312" w:eastAsia="仿宋_GB2312" w:cs="仿宋_GB2312" w:hint="eastAsia"/>
          <w:b/>
          <w:color w:val="auto"/>
          <w:sz w:val="24"/>
          <w:szCs w:val="24"/>
        </w:rPr>
        <w:t>：第十二届大学生职业生涯规划大赛决赛现场答辩评分表</w:t>
      </w:r>
    </w:p>
    <w:p w:rsidR="00170D26" w:rsidRDefault="00170D26">
      <w:pPr>
        <w:jc w:val="center"/>
        <w:rPr>
          <w:rStyle w:val="a4"/>
          <w:rFonts w:ascii="仿宋_GB2312" w:eastAsia="仿宋_GB2312"/>
          <w:b/>
          <w:color w:val="auto"/>
          <w:sz w:val="24"/>
          <w:szCs w:val="24"/>
        </w:rPr>
      </w:pPr>
    </w:p>
    <w:tbl>
      <w:tblPr>
        <w:tblW w:w="8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21"/>
        <w:gridCol w:w="816"/>
        <w:gridCol w:w="1269"/>
      </w:tblGrid>
      <w:tr w:rsidR="00170D26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Fonts w:ascii="仿宋_GB2312" w:eastAsia="仿宋_GB2312"/>
                <w:bCs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Fonts w:ascii="仿宋_GB2312" w:eastAsia="仿宋_GB2312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 w:val="0"/>
                <w:color w:val="auto"/>
                <w:sz w:val="24"/>
                <w:szCs w:val="24"/>
              </w:rPr>
              <w:t>选手得分</w:t>
            </w:r>
          </w:p>
        </w:tc>
      </w:tr>
      <w:tr w:rsidR="00170D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准确性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2833D1">
            <w:pPr>
              <w:ind w:firstLineChars="200" w:firstLine="480"/>
              <w:jc w:val="left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auto"/>
                <w:sz w:val="24"/>
                <w:szCs w:val="24"/>
              </w:rPr>
              <w:t>准确回答专家所提出的问题，内容完整。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70D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条理性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2833D1">
            <w:pPr>
              <w:ind w:firstLineChars="200" w:firstLine="480"/>
              <w:jc w:val="left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auto"/>
                <w:sz w:val="24"/>
                <w:szCs w:val="24"/>
              </w:rPr>
              <w:t>逻辑清晰，语言组织能力强。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70D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proofErr w:type="gramStart"/>
            <w:r>
              <w:rPr>
                <w:rStyle w:val="a4"/>
                <w:rFonts w:ascii="仿宋_GB2312" w:eastAsia="仿宋_GB2312" w:hint="eastAsia"/>
                <w:b/>
                <w:color w:val="auto"/>
                <w:sz w:val="24"/>
                <w:szCs w:val="24"/>
              </w:rPr>
              <w:t>把控性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2833D1">
            <w:pPr>
              <w:ind w:firstLineChars="200" w:firstLine="480"/>
              <w:jc w:val="left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color w:val="auto"/>
                <w:sz w:val="24"/>
                <w:szCs w:val="24"/>
              </w:rPr>
              <w:t>思路敏捷，现场把控能力强。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70D26">
        <w:trPr>
          <w:trHeight w:val="4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26" w:rsidRDefault="002833D1">
            <w:pPr>
              <w:jc w:val="center"/>
              <w:rPr>
                <w:rStyle w:val="a4"/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a4"/>
                <w:rFonts w:ascii="仿宋_GB2312" w:eastAsia="仿宋_GB2312" w:cs="仿宋_GB2312" w:hint="eastAsia"/>
                <w:color w:val="auto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26" w:rsidRDefault="00170D26">
            <w:pPr>
              <w:ind w:firstLineChars="200" w:firstLine="48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</w:tbl>
    <w:p w:rsidR="00170D26" w:rsidRDefault="00170D26">
      <w:pPr>
        <w:ind w:firstLineChars="200" w:firstLine="422"/>
        <w:rPr>
          <w:rFonts w:ascii="仿宋_GB2312"/>
        </w:rPr>
      </w:pPr>
    </w:p>
    <w:p w:rsidR="00170D26" w:rsidRDefault="00170D26"/>
    <w:p w:rsidR="00170D26" w:rsidRDefault="00170D26"/>
    <w:sectPr w:rsidR="00170D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D1" w:rsidRDefault="002833D1">
      <w:r>
        <w:separator/>
      </w:r>
    </w:p>
  </w:endnote>
  <w:endnote w:type="continuationSeparator" w:id="0">
    <w:p w:rsidR="002833D1" w:rsidRDefault="0028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26" w:rsidRDefault="002833D1">
    <w:pPr>
      <w:pStyle w:val="a3"/>
      <w:ind w:firstLineChars="98" w:firstLine="27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170D26" w:rsidRDefault="00170D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26" w:rsidRDefault="002833D1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65293" w:rsidRPr="00A65293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  <w:p w:rsidR="00170D26" w:rsidRDefault="00170D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D1" w:rsidRDefault="002833D1">
      <w:r>
        <w:separator/>
      </w:r>
    </w:p>
  </w:footnote>
  <w:footnote w:type="continuationSeparator" w:id="0">
    <w:p w:rsidR="002833D1" w:rsidRDefault="0028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6386E"/>
    <w:multiLevelType w:val="singleLevel"/>
    <w:tmpl w:val="8D0638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26"/>
    <w:rsid w:val="00170D26"/>
    <w:rsid w:val="002833D1"/>
    <w:rsid w:val="00A65293"/>
    <w:rsid w:val="1A4C0951"/>
    <w:rsid w:val="26C07AF8"/>
    <w:rsid w:val="2B722677"/>
    <w:rsid w:val="441811BB"/>
    <w:rsid w:val="47D74B4F"/>
    <w:rsid w:val="49817EAB"/>
    <w:rsid w:val="55896239"/>
    <w:rsid w:val="61A70654"/>
    <w:rsid w:val="66EC2FBE"/>
    <w:rsid w:val="69B8615A"/>
    <w:rsid w:val="74024B59"/>
    <w:rsid w:val="76FA0DF9"/>
    <w:rsid w:val="7F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bCs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color w:val="auto"/>
      <w:sz w:val="18"/>
      <w:szCs w:val="18"/>
    </w:rPr>
  </w:style>
  <w:style w:type="character" w:styleId="a4">
    <w:name w:val="Strong"/>
    <w:qFormat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/>
      <w:bCs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color w:val="auto"/>
      <w:sz w:val="18"/>
      <w:szCs w:val="18"/>
    </w:rPr>
  </w:style>
  <w:style w:type="character" w:styleId="a4">
    <w:name w:val="Strong"/>
    <w:qFormat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Administrator.BF-20191103JVPD</dc:creator>
  <cp:lastModifiedBy>拂晓得悦</cp:lastModifiedBy>
  <cp:revision>2</cp:revision>
  <dcterms:created xsi:type="dcterms:W3CDTF">2020-10-14T06:39:00Z</dcterms:created>
  <dcterms:modified xsi:type="dcterms:W3CDTF">2020-10-15T04:48:00Z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